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7A312" w14:textId="22096000" w:rsidR="008C7695" w:rsidRPr="008C7695" w:rsidRDefault="008C7695" w:rsidP="008C7695">
      <w:pPr>
        <w:pStyle w:val="3GPPHeader"/>
        <w:spacing w:after="60"/>
        <w:rPr>
          <w:sz w:val="32"/>
          <w:szCs w:val="32"/>
        </w:rPr>
      </w:pPr>
      <w:r w:rsidRPr="008C7695">
        <w:t>3GPP TSG-RAN WG2 #97bis</w:t>
      </w:r>
      <w:r w:rsidRPr="008C7695">
        <w:tab/>
      </w:r>
      <w:r w:rsidRPr="008C7695">
        <w:rPr>
          <w:sz w:val="32"/>
          <w:szCs w:val="32"/>
        </w:rPr>
        <w:t>Tdoc R2-1702700</w:t>
      </w:r>
    </w:p>
    <w:p w14:paraId="3807C58D" w14:textId="77777777" w:rsidR="008C7695" w:rsidRPr="008C7695" w:rsidRDefault="008C7695" w:rsidP="008C7695">
      <w:pPr>
        <w:pStyle w:val="3GPPHeader"/>
      </w:pPr>
      <w:r w:rsidRPr="008C7695">
        <w:t>Spokane, USA, 3</w:t>
      </w:r>
      <w:r w:rsidRPr="008C7695">
        <w:rPr>
          <w:vertAlign w:val="superscript"/>
        </w:rPr>
        <w:t>rd</w:t>
      </w:r>
      <w:r w:rsidRPr="008C7695">
        <w:t xml:space="preserve"> – 7</w:t>
      </w:r>
      <w:r w:rsidRPr="008C7695">
        <w:rPr>
          <w:vertAlign w:val="superscript"/>
        </w:rPr>
        <w:t>th</w:t>
      </w:r>
      <w:r w:rsidRPr="008C7695">
        <w:t xml:space="preserve"> April 2017</w:t>
      </w:r>
    </w:p>
    <w:p w14:paraId="1D328E2A" w14:textId="77777777" w:rsidR="008C7695" w:rsidRPr="008C7695" w:rsidRDefault="008C7695" w:rsidP="008C7695">
      <w:pPr>
        <w:pStyle w:val="3GPPHeader"/>
      </w:pPr>
    </w:p>
    <w:p w14:paraId="37848FDD" w14:textId="4A3C0C44" w:rsidR="008C7695" w:rsidRPr="008C7695" w:rsidRDefault="008C7695" w:rsidP="008C7695">
      <w:pPr>
        <w:pStyle w:val="3GPPHeader"/>
        <w:rPr>
          <w:sz w:val="22"/>
          <w:szCs w:val="22"/>
          <w:lang w:val="sv-SE"/>
        </w:rPr>
      </w:pPr>
      <w:r w:rsidRPr="008C7695">
        <w:rPr>
          <w:sz w:val="22"/>
          <w:szCs w:val="22"/>
          <w:lang w:val="sv-SE"/>
        </w:rPr>
        <w:t>Agenda Item:</w:t>
      </w:r>
      <w:r w:rsidRPr="008C7695">
        <w:rPr>
          <w:sz w:val="22"/>
          <w:szCs w:val="22"/>
          <w:lang w:val="sv-SE"/>
        </w:rPr>
        <w:tab/>
        <w:t>10.2.2.1</w:t>
      </w:r>
    </w:p>
    <w:p w14:paraId="738FEA5F" w14:textId="77777777" w:rsidR="008C7695" w:rsidRPr="008C7695" w:rsidRDefault="008C7695" w:rsidP="008C7695">
      <w:pPr>
        <w:pStyle w:val="3GPPHeader"/>
        <w:rPr>
          <w:sz w:val="22"/>
          <w:szCs w:val="22"/>
        </w:rPr>
      </w:pPr>
      <w:r w:rsidRPr="008C7695">
        <w:rPr>
          <w:sz w:val="22"/>
          <w:szCs w:val="22"/>
        </w:rPr>
        <w:t>Source:</w:t>
      </w:r>
      <w:r w:rsidRPr="008C7695">
        <w:rPr>
          <w:sz w:val="22"/>
          <w:szCs w:val="22"/>
        </w:rPr>
        <w:tab/>
        <w:t>Ericsson</w:t>
      </w:r>
    </w:p>
    <w:p w14:paraId="0C80F3BD" w14:textId="77777777" w:rsidR="002D5FB1" w:rsidRPr="008C7695" w:rsidRDefault="002D5FB1" w:rsidP="002D5FB1">
      <w:pPr>
        <w:pStyle w:val="3GPPHeader"/>
        <w:rPr>
          <w:sz w:val="22"/>
          <w:szCs w:val="22"/>
        </w:rPr>
      </w:pPr>
      <w:r w:rsidRPr="008C7695">
        <w:rPr>
          <w:sz w:val="22"/>
          <w:szCs w:val="22"/>
        </w:rPr>
        <w:t>Title:</w:t>
      </w:r>
      <w:r w:rsidRPr="008C7695">
        <w:rPr>
          <w:sz w:val="22"/>
          <w:szCs w:val="22"/>
        </w:rPr>
        <w:tab/>
        <w:t>Secondary node addition and modification: Remaining issues</w:t>
      </w:r>
    </w:p>
    <w:p w14:paraId="4A134FFC" w14:textId="77777777" w:rsidR="002D5FB1" w:rsidRPr="008C7695" w:rsidRDefault="002D5FB1" w:rsidP="002D5FB1">
      <w:pPr>
        <w:pStyle w:val="3GPPHeader"/>
        <w:rPr>
          <w:sz w:val="22"/>
          <w:szCs w:val="22"/>
        </w:rPr>
      </w:pPr>
      <w:r w:rsidRPr="008C7695">
        <w:rPr>
          <w:sz w:val="22"/>
          <w:szCs w:val="22"/>
        </w:rPr>
        <w:t>Document for:</w:t>
      </w:r>
      <w:r w:rsidRPr="008C7695">
        <w:rPr>
          <w:sz w:val="22"/>
          <w:szCs w:val="22"/>
        </w:rPr>
        <w:tab/>
        <w:t>Discussion, Decision</w:t>
      </w:r>
    </w:p>
    <w:p w14:paraId="61F04FF9" w14:textId="77777777" w:rsidR="002D5FB1" w:rsidRPr="008C7695" w:rsidRDefault="002D5FB1" w:rsidP="002D5FB1">
      <w:bookmarkStart w:id="0" w:name="_GoBack"/>
      <w:bookmarkEnd w:id="0"/>
    </w:p>
    <w:p w14:paraId="5B38E84F" w14:textId="77777777" w:rsidR="002D5FB1" w:rsidRPr="008C7695" w:rsidRDefault="002D5FB1" w:rsidP="002D5FB1">
      <w:pPr>
        <w:pStyle w:val="Heading1"/>
        <w:numPr>
          <w:ilvl w:val="0"/>
          <w:numId w:val="16"/>
        </w:numPr>
        <w:textAlignment w:val="auto"/>
      </w:pPr>
      <w:r w:rsidRPr="008C7695">
        <w:t>Introduction</w:t>
      </w:r>
    </w:p>
    <w:p w14:paraId="31350B46" w14:textId="77777777" w:rsidR="002D5FB1" w:rsidRPr="001D2098" w:rsidRDefault="002D5FB1" w:rsidP="002D5FB1">
      <w:pPr>
        <w:pStyle w:val="Doc-text2"/>
        <w:tabs>
          <w:tab w:val="left" w:pos="720"/>
        </w:tabs>
        <w:ind w:left="0" w:firstLine="0"/>
        <w:rPr>
          <w:rFonts w:ascii="Arial" w:eastAsia="Times New Roman" w:hAnsi="Arial" w:cs="Arial"/>
          <w:sz w:val="20"/>
          <w:szCs w:val="20"/>
          <w:lang w:val="en-US" w:eastAsia="zh-CN"/>
        </w:rPr>
      </w:pPr>
      <w:r w:rsidRPr="001D2098">
        <w:rPr>
          <w:rFonts w:ascii="Arial" w:eastAsia="Times New Roman" w:hAnsi="Arial" w:cs="Arial"/>
          <w:sz w:val="20"/>
          <w:szCs w:val="20"/>
          <w:lang w:val="en-US" w:eastAsia="zh-CN"/>
        </w:rPr>
        <w:t>In 3GPP TSG-RAN WG2 NR Ad Hoc, the following agreements have been made:</w:t>
      </w:r>
    </w:p>
    <w:p w14:paraId="5AFE3779" w14:textId="77777777" w:rsidR="002D5FB1" w:rsidRPr="001D2098" w:rsidRDefault="002D5FB1" w:rsidP="002D5FB1">
      <w:pPr>
        <w:pStyle w:val="Doc-text2"/>
        <w:tabs>
          <w:tab w:val="left" w:pos="720"/>
        </w:tabs>
        <w:ind w:left="142" w:firstLine="0"/>
        <w:rPr>
          <w:rFonts w:ascii="Arial" w:hAnsi="Arial" w:cs="Arial"/>
          <w:sz w:val="20"/>
          <w:szCs w:val="20"/>
        </w:rPr>
      </w:pPr>
    </w:p>
    <w:p w14:paraId="65A2FBE4"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Agreements:</w:t>
      </w:r>
    </w:p>
    <w:p w14:paraId="38A638FD"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1: For initial configuration of LTE/NR tight interworking, the measurement configuration used by the UE should be configured by the master node.</w:t>
      </w:r>
    </w:p>
    <w:p w14:paraId="5BE50F9C"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7D94BB5F"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3: For the LTE/NR tight interworking, the measurement configuration used by the UE the intra-secondary node mobility should be managed by the secondary node. At least in some cases, coordination with the master is required.</w:t>
      </w:r>
    </w:p>
    <w:p w14:paraId="4DE51456"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4: Take the triggering of CP procedure listed below as baseline for the LTE/NR tight interworking:</w:t>
      </w:r>
    </w:p>
    <w:p w14:paraId="684A0593"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Secondary Node Addition procedure: Triggered by master node.</w:t>
      </w:r>
    </w:p>
    <w:p w14:paraId="7AC4CC8A"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Secondary Node Release procedure: Triggered by both master node and secondary node.</w:t>
      </w:r>
    </w:p>
    <w:p w14:paraId="6AE7B8CD"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FFS Whether the secondary node or master node triggers change of secondary node</w:t>
      </w:r>
    </w:p>
    <w:p w14:paraId="56A97540"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Intra-secondary node mobility: Triggered by secondary node.</w:t>
      </w:r>
    </w:p>
    <w:p w14:paraId="3E03FDEE" w14:textId="77777777" w:rsidR="002D5FB1" w:rsidRPr="001D209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sz w:val="20"/>
          <w:szCs w:val="20"/>
        </w:rPr>
      </w:pPr>
      <w:r w:rsidRPr="001D2098">
        <w:rPr>
          <w:rFonts w:ascii="Arial" w:hAnsi="Arial" w:cs="Arial"/>
          <w:sz w:val="20"/>
          <w:szCs w:val="20"/>
        </w:rPr>
        <w:t>- Addition/Release of SCell within secondary node: Triggered by secondary node.</w:t>
      </w:r>
    </w:p>
    <w:p w14:paraId="3A315998" w14:textId="77777777" w:rsidR="002D5FB1" w:rsidRPr="001D2098" w:rsidRDefault="002D5FB1" w:rsidP="002D5FB1">
      <w:pPr>
        <w:pStyle w:val="Doc-text2"/>
        <w:tabs>
          <w:tab w:val="left" w:pos="720"/>
        </w:tabs>
        <w:ind w:left="142" w:firstLine="0"/>
        <w:rPr>
          <w:rFonts w:ascii="Arial" w:hAnsi="Arial" w:cs="Arial"/>
          <w:sz w:val="20"/>
          <w:szCs w:val="20"/>
        </w:rPr>
      </w:pPr>
    </w:p>
    <w:p w14:paraId="1246F6A9" w14:textId="77777777" w:rsidR="002D5FB1" w:rsidRPr="001D2098" w:rsidRDefault="002D5FB1" w:rsidP="002D5FB1">
      <w:pPr>
        <w:pStyle w:val="Doc-text2"/>
        <w:tabs>
          <w:tab w:val="left" w:pos="720"/>
        </w:tabs>
        <w:ind w:left="0" w:firstLine="0"/>
        <w:rPr>
          <w:rFonts w:ascii="Arial" w:eastAsia="Times New Roman" w:hAnsi="Arial" w:cs="Arial"/>
          <w:sz w:val="20"/>
          <w:szCs w:val="20"/>
          <w:lang w:val="en-US" w:eastAsia="zh-CN"/>
        </w:rPr>
      </w:pPr>
      <w:r w:rsidRPr="001D2098">
        <w:rPr>
          <w:rFonts w:ascii="Arial" w:eastAsia="Times New Roman" w:hAnsi="Arial" w:cs="Arial"/>
          <w:sz w:val="20"/>
          <w:szCs w:val="20"/>
          <w:lang w:val="en-US" w:eastAsia="zh-CN"/>
        </w:rPr>
        <w:t>In 3GPP TSG-RAN WG2#97, the following agreements have been made:</w:t>
      </w:r>
    </w:p>
    <w:p w14:paraId="47716E16" w14:textId="77777777" w:rsidR="002D5FB1" w:rsidRPr="001D2098" w:rsidRDefault="002D5FB1" w:rsidP="002D5FB1">
      <w:pPr>
        <w:pStyle w:val="Doc-text2"/>
        <w:tabs>
          <w:tab w:val="left" w:pos="720"/>
        </w:tabs>
        <w:ind w:left="0" w:firstLine="0"/>
        <w:rPr>
          <w:rFonts w:ascii="Arial" w:eastAsia="Times New Roman" w:hAnsi="Arial" w:cs="Arial"/>
          <w:sz w:val="20"/>
          <w:szCs w:val="20"/>
          <w:lang w:val="en-US" w:eastAsia="zh-CN"/>
        </w:rPr>
      </w:pPr>
    </w:p>
    <w:p w14:paraId="659920C6" w14:textId="77777777" w:rsidR="002D5FB1" w:rsidRPr="001D2098" w:rsidRDefault="002D5FB1" w:rsidP="001D2098">
      <w:pPr>
        <w:pBdr>
          <w:top w:val="single" w:sz="4" w:space="1" w:color="000000"/>
          <w:left w:val="single" w:sz="4" w:space="4" w:color="000000"/>
          <w:bottom w:val="single" w:sz="4" w:space="1" w:color="000000"/>
          <w:right w:val="single" w:sz="4" w:space="4" w:color="000000"/>
        </w:pBdr>
        <w:ind w:left="142"/>
        <w:rPr>
          <w:rFonts w:cs="Arial"/>
          <w:lang w:eastAsia="en-GB"/>
        </w:rPr>
      </w:pPr>
      <w:r w:rsidRPr="001D2098">
        <w:rPr>
          <w:rFonts w:cs="Arial"/>
          <w:lang w:eastAsia="en-GB"/>
        </w:rPr>
        <w:t>Agreements</w:t>
      </w:r>
      <w:r w:rsidRPr="001D2098">
        <w:rPr>
          <w:rFonts w:cs="Arial"/>
          <w:lang w:eastAsia="en-GB"/>
        </w:rPr>
        <w:br/>
        <w:t>1: Secondary node initiates the secondary node change procedure in the connected active mode.</w:t>
      </w:r>
      <w:r w:rsidRPr="001D2098">
        <w:rPr>
          <w:rFonts w:cs="Arial"/>
          <w:lang w:eastAsia="en-GB"/>
        </w:rPr>
        <w:br/>
        <w:t>2: In some cases the MN is involved and takes final decision before the secondary node change occurs. FFS whether the MN needs to be involved for other cases (e.g. SN cell change without PDCP change)</w:t>
      </w:r>
      <w:r w:rsidRPr="001D2098">
        <w:rPr>
          <w:rFonts w:cs="Arial"/>
          <w:lang w:eastAsia="en-GB"/>
        </w:rPr>
        <w:br/>
        <w:t>3: The RRM measurement configuration for secondary node change is maintained by secondary node and also processes measurement reports.</w:t>
      </w:r>
      <w:r w:rsidRPr="001D2098">
        <w:rPr>
          <w:rFonts w:cs="Arial"/>
          <w:lang w:eastAsia="en-GB"/>
        </w:rPr>
        <w:br/>
        <w:t>FFS: what additional information can be provided from the SN to the MN when the SN change is initiated.</w:t>
      </w:r>
      <w:r w:rsidRPr="001D2098">
        <w:rPr>
          <w:rFonts w:cs="Arial"/>
          <w:lang w:eastAsia="en-GB"/>
        </w:rPr>
        <w:br/>
        <w:t>FFS: Whether master node can also initiate secondary node change procedure (e.g. inter-freq HO for load balancing reasons)</w:t>
      </w:r>
    </w:p>
    <w:p w14:paraId="3E8B4384" w14:textId="77777777" w:rsidR="002D5FB1" w:rsidRPr="001D2098" w:rsidRDefault="002D5FB1" w:rsidP="002D5FB1">
      <w:pPr>
        <w:rPr>
          <w:rFonts w:cs="Arial"/>
        </w:rPr>
      </w:pPr>
    </w:p>
    <w:p w14:paraId="7FA9F4E4" w14:textId="77777777" w:rsidR="002D5FB1" w:rsidRPr="001D2098" w:rsidRDefault="002D5FB1" w:rsidP="002D5FB1">
      <w:pPr>
        <w:pStyle w:val="BodyText"/>
        <w:rPr>
          <w:rFonts w:cs="Arial"/>
          <w:lang w:val="en-US"/>
        </w:rPr>
      </w:pPr>
      <w:r w:rsidRPr="001D2098">
        <w:rPr>
          <w:rFonts w:cs="Arial"/>
          <w:lang w:val="en-US"/>
        </w:rPr>
        <w:lastRenderedPageBreak/>
        <w:t xml:space="preserve">In this contribution, we will be focusing on the remaining RRM aspects of LTE-NR tight-interworking in case of secondary node addition and modification. </w:t>
      </w:r>
    </w:p>
    <w:p w14:paraId="3624DC25" w14:textId="77777777" w:rsidR="002D5FB1" w:rsidRPr="008C7695" w:rsidRDefault="002D5FB1" w:rsidP="002D5FB1">
      <w:pPr>
        <w:pStyle w:val="Heading1"/>
        <w:numPr>
          <w:ilvl w:val="0"/>
          <w:numId w:val="16"/>
        </w:numPr>
        <w:textAlignment w:val="auto"/>
      </w:pPr>
      <w:bookmarkStart w:id="1" w:name="_Ref178064866"/>
      <w:r w:rsidRPr="008C7695">
        <w:t>Discussion</w:t>
      </w:r>
      <w:bookmarkEnd w:id="1"/>
    </w:p>
    <w:p w14:paraId="3F1E4119" w14:textId="78FEC646" w:rsidR="002D5FB1" w:rsidRPr="008C7695" w:rsidRDefault="002D5FB1" w:rsidP="002D5FB1">
      <w:pPr>
        <w:pStyle w:val="BodyText"/>
        <w:rPr>
          <w:lang w:val="en-US"/>
        </w:rPr>
      </w:pPr>
      <w:r w:rsidRPr="008C7695">
        <w:rPr>
          <w:lang w:val="en-US"/>
        </w:rPr>
        <w:t xml:space="preserve">To be able to execute the secondary node addition procedure, there is a need for a certain level of understanding of each other’s measurements and a definition of events to trigger measurement reporting for inter-RAT handover or addition of secondary node. Thus, the master node will be required to maintain RRM measurement configuration of the UE to detect when the UE moves into NR coverage as in LTE DC case </w:t>
      </w:r>
      <w:r w:rsidRPr="008C7695">
        <w:rPr>
          <w:lang w:val="en-US"/>
        </w:rPr>
        <w:fldChar w:fldCharType="begin"/>
      </w:r>
      <w:r w:rsidRPr="008C7695">
        <w:rPr>
          <w:lang w:val="en-US"/>
        </w:rPr>
        <w:instrText xml:space="preserve"> REF _Ref462960254 \r \h </w:instrText>
      </w:r>
      <w:r w:rsidR="008C7695">
        <w:rPr>
          <w:lang w:val="en-US"/>
        </w:rPr>
        <w:instrText xml:space="preserve"> \* MERGEFORMAT </w:instrText>
      </w:r>
      <w:r w:rsidRPr="008C7695">
        <w:rPr>
          <w:lang w:val="en-US"/>
        </w:rPr>
      </w:r>
      <w:r w:rsidRPr="008C7695">
        <w:rPr>
          <w:lang w:val="en-US"/>
        </w:rPr>
        <w:fldChar w:fldCharType="separate"/>
      </w:r>
      <w:r w:rsidRPr="008C7695">
        <w:rPr>
          <w:lang w:val="en-US"/>
        </w:rPr>
        <w:t>[1]</w:t>
      </w:r>
      <w:r w:rsidRPr="008C7695">
        <w:rPr>
          <w:lang w:val="en-US"/>
        </w:rPr>
        <w:fldChar w:fldCharType="end"/>
      </w:r>
      <w:r w:rsidRPr="008C7695">
        <w:rPr>
          <w:lang w:val="en-US"/>
        </w:rPr>
        <w:t xml:space="preserve">. This is because the starting point is that the UE has only LTE connectivity, and thus the measurement configuration must come via the LTE RRC connection as agreed in the last ad hoc meeting. </w:t>
      </w:r>
    </w:p>
    <w:p w14:paraId="06B424C4" w14:textId="678552DC" w:rsidR="002D5FB1" w:rsidRPr="008C7695" w:rsidRDefault="002D5FB1" w:rsidP="002D5FB1">
      <w:pPr>
        <w:pStyle w:val="BodyText"/>
        <w:rPr>
          <w:lang w:val="en-US"/>
        </w:rPr>
      </w:pPr>
      <w:r w:rsidRPr="008C7695">
        <w:rPr>
          <w:lang w:val="en-US"/>
        </w:rPr>
        <w:t>From the agreements from RAN2#96 and the following WG meetings, it is expected to be sufficient to base the addition of NR secondary node on the signals used for idle mode RRM (case a), which may be similar to those already specified for LTE mobility. Straightforwardly, in this case, we also expect that it is suff</w:t>
      </w:r>
      <w:r w:rsidR="00AC482C">
        <w:rPr>
          <w:lang w:val="en-US"/>
        </w:rPr>
        <w:t>icient to assume that measurements</w:t>
      </w:r>
      <w:r w:rsidRPr="008C7695">
        <w:rPr>
          <w:lang w:val="en-US"/>
        </w:rPr>
        <w:t xml:space="preserve">, which </w:t>
      </w:r>
      <w:r w:rsidR="00AC482C">
        <w:rPr>
          <w:lang w:val="en-US"/>
        </w:rPr>
        <w:t>are</w:t>
      </w:r>
      <w:r w:rsidRPr="008C7695">
        <w:rPr>
          <w:lang w:val="en-US"/>
        </w:rPr>
        <w:t xml:space="preserve"> based on the signals used for idle mode RRM, </w:t>
      </w:r>
      <w:r w:rsidR="00AC482C">
        <w:rPr>
          <w:lang w:val="en-US"/>
        </w:rPr>
        <w:t>are</w:t>
      </w:r>
      <w:r w:rsidRPr="008C7695">
        <w:rPr>
          <w:lang w:val="en-US"/>
        </w:rPr>
        <w:t xml:space="preserve"> </w:t>
      </w:r>
      <w:r w:rsidR="00AC482C">
        <w:rPr>
          <w:lang w:val="en-US"/>
        </w:rPr>
        <w:t>reported</w:t>
      </w:r>
      <w:r w:rsidRPr="008C7695">
        <w:rPr>
          <w:lang w:val="en-US"/>
        </w:rPr>
        <w:t xml:space="preserve"> via MCG SRB to MN for processing</w:t>
      </w:r>
      <w:r w:rsidR="00E87488">
        <w:rPr>
          <w:lang w:val="en-US"/>
        </w:rPr>
        <w:t xml:space="preserve">. </w:t>
      </w:r>
      <w:r w:rsidR="00E87488">
        <w:t>T</w:t>
      </w:r>
      <w:r w:rsidR="00E87488">
        <w:t>he example</w:t>
      </w:r>
      <w:r w:rsidR="00E87488">
        <w:t xml:space="preserve"> for the secondary node </w:t>
      </w:r>
      <w:r w:rsidR="00E87488">
        <w:t>addition</w:t>
      </w:r>
      <w:r w:rsidR="00E87488">
        <w:t xml:space="preserve"> procedure </w:t>
      </w:r>
      <w:r w:rsidR="00E87488">
        <w:t>is illustrated i</w:t>
      </w:r>
      <w:r w:rsidR="00E87488">
        <w:t>n Figure</w:t>
      </w:r>
      <w:r w:rsidR="00E87488">
        <w:t xml:space="preserve"> 1.</w:t>
      </w:r>
    </w:p>
    <w:p w14:paraId="47F32E06" w14:textId="742FBF1F" w:rsidR="002D5FB1" w:rsidRPr="00AC482C" w:rsidRDefault="002D5FB1" w:rsidP="00AC482C">
      <w:pPr>
        <w:pStyle w:val="Proposal"/>
        <w:numPr>
          <w:ilvl w:val="0"/>
          <w:numId w:val="18"/>
        </w:numPr>
        <w:rPr>
          <w:rFonts w:eastAsiaTheme="minorEastAsia"/>
        </w:rPr>
      </w:pPr>
      <w:r w:rsidRPr="00AC482C">
        <w:t>In case of s</w:t>
      </w:r>
      <w:r w:rsidR="00073449">
        <w:t>econdary node addition</w:t>
      </w:r>
      <w:r w:rsidR="00AC482C" w:rsidRPr="00AC482C">
        <w:t>,</w:t>
      </w:r>
      <w:r w:rsidRPr="00AC482C">
        <w:t xml:space="preserve"> </w:t>
      </w:r>
      <w:r w:rsidR="00AC482C" w:rsidRPr="00AC482C">
        <w:t xml:space="preserve">measurements </w:t>
      </w:r>
      <w:r w:rsidR="00073449">
        <w:t xml:space="preserve">triggering the procedure </w:t>
      </w:r>
      <w:r w:rsidR="00AC482C" w:rsidRPr="00AC482C">
        <w:t xml:space="preserve">can be based on </w:t>
      </w:r>
      <w:r w:rsidRPr="00AC482C">
        <w:t>the signals used for idle mode RRM.</w:t>
      </w:r>
    </w:p>
    <w:p w14:paraId="57396635" w14:textId="0D9BA8C1" w:rsidR="002D5FB1" w:rsidRPr="00A70BE1" w:rsidRDefault="00AC6C4C" w:rsidP="00A70BE1">
      <w:pPr>
        <w:pStyle w:val="Proposal"/>
        <w:numPr>
          <w:ilvl w:val="0"/>
          <w:numId w:val="18"/>
        </w:numPr>
      </w:pPr>
      <w:r w:rsidRPr="00A70BE1">
        <w:t>MeNB may trigger s</w:t>
      </w:r>
      <w:r w:rsidR="002D5FB1" w:rsidRPr="00A70BE1">
        <w:t xml:space="preserve">econdary node addition, </w:t>
      </w:r>
      <w:r w:rsidRPr="00A70BE1">
        <w:t xml:space="preserve">using </w:t>
      </w:r>
      <w:r w:rsidR="002D5FB1" w:rsidRPr="00A70BE1">
        <w:t>measurement report</w:t>
      </w:r>
      <w:r w:rsidRPr="00A70BE1">
        <w:t xml:space="preserve">s that the UE delivered </w:t>
      </w:r>
      <w:r w:rsidR="002D5FB1" w:rsidRPr="00A70BE1">
        <w:t xml:space="preserve">via </w:t>
      </w:r>
      <w:r w:rsidRPr="00A70BE1">
        <w:t xml:space="preserve">the </w:t>
      </w:r>
      <w:r w:rsidR="002D5FB1" w:rsidRPr="00A70BE1">
        <w:t>MCG SRB.</w:t>
      </w:r>
    </w:p>
    <w:p w14:paraId="5012EAC6" w14:textId="77777777" w:rsidR="002D5FB1" w:rsidRPr="008C7695" w:rsidRDefault="002D5FB1" w:rsidP="002D5FB1">
      <w:pPr>
        <w:pStyle w:val="Proposal"/>
        <w:numPr>
          <w:ilvl w:val="0"/>
          <w:numId w:val="0"/>
        </w:numPr>
        <w:tabs>
          <w:tab w:val="clear" w:pos="1701"/>
          <w:tab w:val="left" w:pos="720"/>
          <w:tab w:val="left" w:pos="1276"/>
        </w:tabs>
        <w:spacing w:after="160" w:line="256" w:lineRule="auto"/>
        <w:ind w:left="1276"/>
        <w:textAlignment w:val="auto"/>
        <w:rPr>
          <w:rFonts w:cs="Arial"/>
        </w:rPr>
      </w:pPr>
    </w:p>
    <w:p w14:paraId="00C5A0E0" w14:textId="77777777" w:rsidR="002D5FB1" w:rsidRPr="008C7695" w:rsidRDefault="002D5FB1" w:rsidP="002D5FB1">
      <w:pPr>
        <w:jc w:val="center"/>
      </w:pPr>
      <w:r w:rsidRPr="008C7695">
        <w:rPr>
          <w:noProof/>
          <w:lang w:eastAsia="en-GB"/>
        </w:rPr>
        <w:drawing>
          <wp:inline distT="0" distB="0" distL="0" distR="0" wp14:anchorId="161067DD" wp14:editId="0E6D3798">
            <wp:extent cx="5073015" cy="32042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3015" cy="3204210"/>
                    </a:xfrm>
                    <a:prstGeom prst="rect">
                      <a:avLst/>
                    </a:prstGeom>
                    <a:noFill/>
                    <a:ln>
                      <a:noFill/>
                    </a:ln>
                  </pic:spPr>
                </pic:pic>
              </a:graphicData>
            </a:graphic>
          </wp:inline>
        </w:drawing>
      </w:r>
    </w:p>
    <w:p w14:paraId="38B956EA" w14:textId="77777777" w:rsidR="002D5FB1" w:rsidRPr="008C7695" w:rsidRDefault="002D5FB1" w:rsidP="002D5FB1">
      <w:pPr>
        <w:pStyle w:val="TF"/>
        <w:rPr>
          <w:lang w:eastAsia="ja-JP"/>
        </w:rPr>
      </w:pPr>
      <w:r w:rsidRPr="008C7695">
        <w:rPr>
          <w:lang w:eastAsia="ja-JP"/>
        </w:rPr>
        <w:t>Figure 1: SgNB addition in case of LTE-NR interworking</w:t>
      </w:r>
    </w:p>
    <w:p w14:paraId="394828EC" w14:textId="69E19ED9" w:rsidR="002D5FB1" w:rsidRPr="008C7695" w:rsidRDefault="002D5FB1" w:rsidP="002D5FB1">
      <w:pPr>
        <w:pStyle w:val="BodyText"/>
        <w:rPr>
          <w:b/>
        </w:rPr>
      </w:pPr>
      <w:r w:rsidRPr="008C7695">
        <w:t>As agreed in the last ad hoc meeting, secondary node mo</w:t>
      </w:r>
      <w:r w:rsidR="00073449">
        <w:t xml:space="preserve">dification related to mobility </w:t>
      </w:r>
      <w:r w:rsidR="00A70BE1">
        <w:t>e.g.</w:t>
      </w:r>
      <w:r w:rsidR="00A70BE1">
        <w:t>,</w:t>
      </w:r>
      <w:r w:rsidR="00A70BE1">
        <w:t xml:space="preserve"> to trigger the release of SCG SCell(s) (other than PSCell</w:t>
      </w:r>
      <w:r w:rsidR="00A70BE1">
        <w:t>),</w:t>
      </w:r>
      <w:r w:rsidR="00A70BE1" w:rsidRPr="008C7695">
        <w:t xml:space="preserve"> should</w:t>
      </w:r>
      <w:r w:rsidRPr="008C7695">
        <w:t xml:space="preserve"> be initiated by the secondary node. Accordingly, lower layer configurations should also be controlled by the secondary node. On the other hand, in case</w:t>
      </w:r>
      <w:r w:rsidR="00A70BE1">
        <w:t xml:space="preserve"> of secondary node modification</w:t>
      </w:r>
      <w:r w:rsidR="00A70BE1">
        <w:t xml:space="preserve"> to trigger the release of SCG bearer(s) and </w:t>
      </w:r>
      <w:r w:rsidR="00A70BE1">
        <w:t>the SCG part of split bearer(s), it should be possible that both the master node and secondary node can trigger the secondary node modification procedure</w:t>
      </w:r>
      <w:r w:rsidRPr="008C7695">
        <w:t>.</w:t>
      </w:r>
      <w:r w:rsidR="00A70BE1">
        <w:t xml:space="preserve"> The examples for </w:t>
      </w:r>
      <w:r w:rsidR="00A70BE1">
        <w:t>the secondary node</w:t>
      </w:r>
      <w:r w:rsidR="00A70BE1">
        <w:t xml:space="preserve"> and </w:t>
      </w:r>
      <w:r w:rsidR="00A70BE1">
        <w:t xml:space="preserve">master node </w:t>
      </w:r>
      <w:r w:rsidR="00A70BE1">
        <w:t xml:space="preserve">initiated </w:t>
      </w:r>
      <w:r w:rsidR="00A70BE1">
        <w:t>secondary node modification procedure</w:t>
      </w:r>
      <w:r w:rsidR="00A70BE1">
        <w:t xml:space="preserve">s are given in Figures 2 and 3 respectively. </w:t>
      </w:r>
    </w:p>
    <w:p w14:paraId="2056C9D7" w14:textId="65E40A8D" w:rsidR="002D5FB1" w:rsidRPr="008C7695" w:rsidRDefault="00A70BE1" w:rsidP="002D5FB1">
      <w:pPr>
        <w:pStyle w:val="Proposal"/>
        <w:numPr>
          <w:ilvl w:val="0"/>
          <w:numId w:val="18"/>
        </w:numPr>
        <w:tabs>
          <w:tab w:val="clear" w:pos="1701"/>
          <w:tab w:val="left" w:pos="720"/>
          <w:tab w:val="left" w:pos="1276"/>
        </w:tabs>
        <w:spacing w:after="160" w:line="256" w:lineRule="auto"/>
        <w:ind w:left="1276" w:hanging="1276"/>
        <w:textAlignment w:val="auto"/>
        <w:rPr>
          <w:rFonts w:cs="Arial"/>
        </w:rPr>
      </w:pPr>
      <w:r>
        <w:t>I</w:t>
      </w:r>
      <w:r w:rsidRPr="008C7695">
        <w:t>n case</w:t>
      </w:r>
      <w:r>
        <w:t xml:space="preserve"> of secondary node modification to trigger the release of SCG bearer(s) and </w:t>
      </w:r>
      <w:r>
        <w:t xml:space="preserve">the SCG part of split </w:t>
      </w:r>
      <w:r>
        <w:t>bearer(s), it should be possible that both the master node and secondary node can trigger the secondary node modification procedure</w:t>
      </w:r>
      <w:r w:rsidR="002D5FB1" w:rsidRPr="008C7695">
        <w:rPr>
          <w:rFonts w:cs="Arial"/>
        </w:rPr>
        <w:t>.</w:t>
      </w:r>
    </w:p>
    <w:p w14:paraId="3C8A0A5B" w14:textId="77777777" w:rsidR="002D5FB1" w:rsidRPr="008C7695" w:rsidRDefault="002D5FB1" w:rsidP="002D5FB1">
      <w:pPr>
        <w:pStyle w:val="BodyText"/>
        <w:rPr>
          <w:lang w:val="en-US"/>
        </w:rPr>
      </w:pPr>
      <w:r w:rsidRPr="008C7695">
        <w:rPr>
          <w:lang w:val="en-US"/>
        </w:rPr>
        <w:t>In case of secondary node initiated secondary node modification the master node should not necessarily be expected to maintain the RRM measurement configuration of the UE for the secondary node but to generate the final RRC message. Whether the master node needs to understand the RRM measurement configuration originated from the secondary node for these cases or not should be left to the implementation and kept transparent from the specification point of view.</w:t>
      </w:r>
    </w:p>
    <w:p w14:paraId="16BC2951" w14:textId="77777777" w:rsidR="002D5FB1" w:rsidRPr="008C7695" w:rsidRDefault="002D5FB1" w:rsidP="002D5FB1">
      <w:pPr>
        <w:rPr>
          <w:lang w:val="en-US"/>
        </w:rPr>
      </w:pPr>
    </w:p>
    <w:p w14:paraId="4B89BD40" w14:textId="77777777" w:rsidR="002D5FB1" w:rsidRPr="008C7695" w:rsidRDefault="002D5FB1" w:rsidP="002D5FB1"/>
    <w:p w14:paraId="7E2E1C42" w14:textId="77777777" w:rsidR="002D5FB1" w:rsidRPr="008C7695" w:rsidRDefault="002D5FB1" w:rsidP="002D5FB1">
      <w:pPr>
        <w:jc w:val="center"/>
      </w:pPr>
      <w:r w:rsidRPr="008C7695">
        <w:rPr>
          <w:noProof/>
          <w:lang w:eastAsia="en-GB"/>
        </w:rPr>
        <w:drawing>
          <wp:inline distT="0" distB="0" distL="0" distR="0" wp14:anchorId="0EFA7F70" wp14:editId="20096337">
            <wp:extent cx="4857750" cy="3196583"/>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63634" cy="3200455"/>
                    </a:xfrm>
                    <a:prstGeom prst="rect">
                      <a:avLst/>
                    </a:prstGeom>
                    <a:noFill/>
                    <a:ln>
                      <a:noFill/>
                    </a:ln>
                  </pic:spPr>
                </pic:pic>
              </a:graphicData>
            </a:graphic>
          </wp:inline>
        </w:drawing>
      </w:r>
    </w:p>
    <w:p w14:paraId="49FF1247" w14:textId="0F5D8828" w:rsidR="002D5FB1" w:rsidRPr="008C7695" w:rsidRDefault="002D5FB1" w:rsidP="002D5FB1">
      <w:pPr>
        <w:pStyle w:val="TF"/>
        <w:rPr>
          <w:lang w:eastAsia="ja-JP"/>
        </w:rPr>
      </w:pPr>
      <w:r w:rsidRPr="008C7695">
        <w:rPr>
          <w:lang w:eastAsia="ja-JP"/>
        </w:rPr>
        <w:t>Figure 2: SgNB-initiated SgNB modification in case of LTE-NR interworking</w:t>
      </w:r>
      <w:r w:rsidR="008C7695" w:rsidRPr="008C7695">
        <w:rPr>
          <w:lang w:eastAsia="ja-JP"/>
        </w:rPr>
        <w:t xml:space="preserve"> (assuming MCG SRB for the RRC transport)</w:t>
      </w:r>
    </w:p>
    <w:p w14:paraId="596D02D6" w14:textId="77777777" w:rsidR="002D5FB1" w:rsidRPr="008C7695" w:rsidRDefault="002D5FB1" w:rsidP="002D5FB1">
      <w:pPr>
        <w:pStyle w:val="TF"/>
        <w:rPr>
          <w:lang w:eastAsia="ja-JP"/>
        </w:rPr>
      </w:pPr>
      <w:r w:rsidRPr="008C7695">
        <w:rPr>
          <w:noProof/>
          <w:lang w:eastAsia="en-GB"/>
        </w:rPr>
        <w:drawing>
          <wp:inline distT="0" distB="0" distL="0" distR="0" wp14:anchorId="4AEF256B" wp14:editId="0A1D5F25">
            <wp:extent cx="4812823" cy="3457575"/>
            <wp:effectExtent l="0" t="0" r="698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21887" cy="3464087"/>
                    </a:xfrm>
                    <a:prstGeom prst="rect">
                      <a:avLst/>
                    </a:prstGeom>
                    <a:noFill/>
                    <a:ln>
                      <a:noFill/>
                    </a:ln>
                  </pic:spPr>
                </pic:pic>
              </a:graphicData>
            </a:graphic>
          </wp:inline>
        </w:drawing>
      </w:r>
    </w:p>
    <w:p w14:paraId="4612ABCD" w14:textId="674E0A81" w:rsidR="002D5FB1" w:rsidRPr="008C7695" w:rsidRDefault="002D5FB1" w:rsidP="002D5FB1">
      <w:pPr>
        <w:pStyle w:val="TF"/>
        <w:rPr>
          <w:lang w:eastAsia="ja-JP"/>
        </w:rPr>
      </w:pPr>
      <w:r w:rsidRPr="008C7695">
        <w:rPr>
          <w:lang w:eastAsia="ja-JP"/>
        </w:rPr>
        <w:t>Figure 3: MgNB-initiated SgNB modification in case of LTE-NR interworking</w:t>
      </w:r>
      <w:r w:rsidR="008C7695" w:rsidRPr="008C7695">
        <w:rPr>
          <w:lang w:eastAsia="ja-JP"/>
        </w:rPr>
        <w:t xml:space="preserve"> (assuming MCG SRB for the RRC transport)</w:t>
      </w:r>
    </w:p>
    <w:p w14:paraId="5555AC11" w14:textId="77777777" w:rsidR="002D5FB1" w:rsidRPr="008C7695" w:rsidRDefault="002D5FB1" w:rsidP="002D5FB1">
      <w:pPr>
        <w:pStyle w:val="TF"/>
        <w:rPr>
          <w:lang w:eastAsia="ja-JP"/>
        </w:rPr>
      </w:pPr>
    </w:p>
    <w:p w14:paraId="52B6E4C9" w14:textId="77777777" w:rsidR="002D5FB1" w:rsidRPr="008C7695" w:rsidRDefault="002D5FB1" w:rsidP="002D5FB1">
      <w:pPr>
        <w:pStyle w:val="Heading1"/>
        <w:numPr>
          <w:ilvl w:val="0"/>
          <w:numId w:val="16"/>
        </w:numPr>
        <w:textAlignment w:val="auto"/>
      </w:pPr>
      <w:r w:rsidRPr="008C7695">
        <w:t>Conclusion</w:t>
      </w:r>
    </w:p>
    <w:p w14:paraId="4D73E057" w14:textId="77777777" w:rsidR="002D5FB1" w:rsidRPr="008C7695" w:rsidRDefault="002D5FB1" w:rsidP="002D5FB1">
      <w:pPr>
        <w:pStyle w:val="BodyText"/>
      </w:pPr>
      <w:r w:rsidRPr="008C7695">
        <w:t>Based on the discussion in section 2, we have the following proposals:</w:t>
      </w:r>
    </w:p>
    <w:p w14:paraId="717243F7" w14:textId="2DD84B5B" w:rsidR="002D5FB1" w:rsidRPr="008C7695" w:rsidRDefault="002D5FB1" w:rsidP="002D5FB1">
      <w:pPr>
        <w:pStyle w:val="TOC1"/>
      </w:pPr>
      <w:r w:rsidRPr="008C7695">
        <w:rPr>
          <w:b w:val="0"/>
        </w:rPr>
        <w:fldChar w:fldCharType="begin"/>
      </w:r>
      <w:r w:rsidRPr="008C7695">
        <w:instrText xml:space="preserve"> TOC \f \n \p " " \t "Proposal;1" </w:instrText>
      </w:r>
      <w:r w:rsidRPr="008C7695">
        <w:rPr>
          <w:b w:val="0"/>
        </w:rPr>
        <w:fldChar w:fldCharType="separate"/>
      </w:r>
      <w:r w:rsidRPr="008C7695">
        <w:t>Proposal 1</w:t>
      </w:r>
      <w:r w:rsidRPr="008C7695">
        <w:rPr>
          <w:rFonts w:asciiTheme="minorHAnsi" w:eastAsiaTheme="minorEastAsia" w:hAnsiTheme="minorHAnsi" w:cstheme="minorBidi"/>
          <w:b w:val="0"/>
          <w:sz w:val="22"/>
          <w:lang w:val="en-GB" w:eastAsia="fi-FI"/>
        </w:rPr>
        <w:tab/>
      </w:r>
      <w:r w:rsidRPr="008C7695">
        <w:t>I</w:t>
      </w:r>
      <w:r w:rsidR="00A70BE1" w:rsidRPr="00A70BE1">
        <w:t>n case of secondary node addition, measurements triggering the procedure can be based on the signals used for idle mode RRM.</w:t>
      </w:r>
    </w:p>
    <w:p w14:paraId="47A65D2E" w14:textId="6DE40061" w:rsidR="002D5FB1" w:rsidRPr="008C7695" w:rsidRDefault="0053269E" w:rsidP="002D5FB1">
      <w:pPr>
        <w:pStyle w:val="TOC1"/>
      </w:pPr>
      <w:r>
        <w:t>Proposal 2</w:t>
      </w:r>
      <w:r>
        <w:tab/>
      </w:r>
      <w:r w:rsidRPr="0053269E">
        <w:t>MeNB may trigger secondary node addition, using measurement reports that the UE delivered via the MCG SRB.</w:t>
      </w:r>
    </w:p>
    <w:p w14:paraId="545190B1" w14:textId="7EA700AF" w:rsidR="002D5FB1" w:rsidRPr="008C7695" w:rsidRDefault="002D5FB1" w:rsidP="002D5FB1">
      <w:pPr>
        <w:pStyle w:val="TOC1"/>
      </w:pPr>
      <w:r w:rsidRPr="008C7695">
        <w:t>Proposal 3</w:t>
      </w:r>
      <w:r w:rsidRPr="008C7695">
        <w:rPr>
          <w:rFonts w:asciiTheme="minorHAnsi" w:eastAsiaTheme="minorEastAsia" w:hAnsiTheme="minorHAnsi" w:cstheme="minorBidi"/>
          <w:b w:val="0"/>
          <w:sz w:val="22"/>
          <w:lang w:val="en-GB" w:eastAsia="fi-FI"/>
        </w:rPr>
        <w:tab/>
      </w:r>
      <w:r w:rsidR="00A70BE1" w:rsidRPr="00A70BE1">
        <w:t xml:space="preserve">In case of secondary node modification to trigger the release of SCG bearer(s) and the SCG part of split bearer(s), it should be possible that both the master node and secondary node can trigger the secondary node modification procedure. </w:t>
      </w:r>
      <w:r w:rsidRPr="008C7695">
        <w:rPr>
          <w:b w:val="0"/>
        </w:rPr>
        <w:fldChar w:fldCharType="end"/>
      </w:r>
    </w:p>
    <w:p w14:paraId="5828AE1E" w14:textId="77777777" w:rsidR="002D5FB1" w:rsidRPr="008C7695" w:rsidRDefault="002D5FB1" w:rsidP="002D5FB1"/>
    <w:p w14:paraId="2BAC8A3E" w14:textId="77777777" w:rsidR="002D5FB1" w:rsidRPr="008C7695" w:rsidRDefault="002D5FB1" w:rsidP="002D5FB1">
      <w:pPr>
        <w:pStyle w:val="Heading1"/>
        <w:numPr>
          <w:ilvl w:val="0"/>
          <w:numId w:val="16"/>
        </w:numPr>
        <w:textAlignment w:val="auto"/>
      </w:pPr>
      <w:bookmarkStart w:id="2" w:name="_In-sequence_SDU_delivery"/>
      <w:bookmarkEnd w:id="2"/>
      <w:r w:rsidRPr="008C7695">
        <w:t>References</w:t>
      </w:r>
    </w:p>
    <w:p w14:paraId="15404218" w14:textId="77777777" w:rsidR="002D5FB1" w:rsidRPr="008C7695" w:rsidRDefault="002D5FB1" w:rsidP="002D5FB1">
      <w:pPr>
        <w:pStyle w:val="Reference"/>
        <w:numPr>
          <w:ilvl w:val="0"/>
          <w:numId w:val="17"/>
        </w:numPr>
        <w:textAlignment w:val="auto"/>
      </w:pPr>
      <w:bookmarkStart w:id="3" w:name="_Ref446579153"/>
      <w:bookmarkStart w:id="4" w:name="_Ref462960254"/>
      <w:r w:rsidRPr="008C7695">
        <w:t xml:space="preserve">3GPP TS 36.300, </w:t>
      </w:r>
      <w:bookmarkEnd w:id="3"/>
      <w:r w:rsidRPr="008C7695">
        <w:t>3rd Generation Partnership Project; Technical Specification Group Radio Access Network; Evolved Universal Terrestrial Radio Access (E-UTRA) and Evolved Universal Terrestrial Radio Access Network.</w:t>
      </w:r>
      <w:bookmarkEnd w:id="4"/>
      <w:r w:rsidRPr="008C7695">
        <w:t xml:space="preserve"> </w:t>
      </w:r>
    </w:p>
    <w:p w14:paraId="5D3456D4" w14:textId="77777777" w:rsidR="002D5FB1" w:rsidRDefault="002D5FB1" w:rsidP="002D5FB1">
      <w:pPr>
        <w:pStyle w:val="BodyText"/>
      </w:pPr>
    </w:p>
    <w:p w14:paraId="3BF3E120" w14:textId="77777777" w:rsidR="002D5FB1" w:rsidRPr="0086686D" w:rsidRDefault="002D5FB1" w:rsidP="002D5FB1"/>
    <w:p w14:paraId="0260081F" w14:textId="77777777" w:rsidR="003A7EF3" w:rsidRPr="002D5FB1" w:rsidRDefault="003A7EF3" w:rsidP="002D5FB1"/>
    <w:sectPr w:rsidR="003A7EF3" w:rsidRPr="002D5FB1">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196ECC" w14:textId="77777777" w:rsidR="00854F97" w:rsidRDefault="00854F97">
      <w:r>
        <w:separator/>
      </w:r>
    </w:p>
  </w:endnote>
  <w:endnote w:type="continuationSeparator" w:id="0">
    <w:p w14:paraId="369BC6B7" w14:textId="77777777" w:rsidR="00854F97" w:rsidRDefault="0085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4594353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209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209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7F489C" w14:textId="77777777" w:rsidR="00854F97" w:rsidRDefault="00854F97">
      <w:r>
        <w:separator/>
      </w:r>
    </w:p>
  </w:footnote>
  <w:footnote w:type="continuationSeparator" w:id="0">
    <w:p w14:paraId="60E7E941" w14:textId="77777777" w:rsidR="00854F97" w:rsidRDefault="0085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EDE2BF6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1682A5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BBE0C0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8"/>
    <w:lvlOverride w:ilvl="0">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3449"/>
    <w:rsid w:val="00077E5F"/>
    <w:rsid w:val="0008036A"/>
    <w:rsid w:val="00081AE6"/>
    <w:rsid w:val="000855EB"/>
    <w:rsid w:val="00085B52"/>
    <w:rsid w:val="000866F2"/>
    <w:rsid w:val="0009009F"/>
    <w:rsid w:val="00091557"/>
    <w:rsid w:val="00092276"/>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40AD"/>
    <w:rsid w:val="001D209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2FB"/>
    <w:rsid w:val="00296227"/>
    <w:rsid w:val="00296F44"/>
    <w:rsid w:val="0029777D"/>
    <w:rsid w:val="002A055E"/>
    <w:rsid w:val="002A1D4E"/>
    <w:rsid w:val="002A2869"/>
    <w:rsid w:val="002B24D6"/>
    <w:rsid w:val="002C41E6"/>
    <w:rsid w:val="002D071A"/>
    <w:rsid w:val="002D34B2"/>
    <w:rsid w:val="002D5FB1"/>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53B3"/>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269E"/>
    <w:rsid w:val="00534B59"/>
    <w:rsid w:val="00536759"/>
    <w:rsid w:val="00537C62"/>
    <w:rsid w:val="00544421"/>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3EBC"/>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686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69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0BE1"/>
    <w:rsid w:val="00A71B99"/>
    <w:rsid w:val="00A739D0"/>
    <w:rsid w:val="00A761D4"/>
    <w:rsid w:val="00A77EC4"/>
    <w:rsid w:val="00A84378"/>
    <w:rsid w:val="00A90B61"/>
    <w:rsid w:val="00A91579"/>
    <w:rsid w:val="00A92879"/>
    <w:rsid w:val="00A9442A"/>
    <w:rsid w:val="00AA016F"/>
    <w:rsid w:val="00AA1ED6"/>
    <w:rsid w:val="00AA51D6"/>
    <w:rsid w:val="00AB0BC8"/>
    <w:rsid w:val="00AB11CA"/>
    <w:rsid w:val="00AB14D9"/>
    <w:rsid w:val="00AB4AB8"/>
    <w:rsid w:val="00AB655E"/>
    <w:rsid w:val="00AC007F"/>
    <w:rsid w:val="00AC2ECD"/>
    <w:rsid w:val="00AC3119"/>
    <w:rsid w:val="00AC482C"/>
    <w:rsid w:val="00AC49FB"/>
    <w:rsid w:val="00AC5A10"/>
    <w:rsid w:val="00AC6C4C"/>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230E"/>
    <w:rsid w:val="00C93C4B"/>
    <w:rsid w:val="00C944AB"/>
    <w:rsid w:val="00C95B40"/>
    <w:rsid w:val="00CA1ED8"/>
    <w:rsid w:val="00CA5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48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317"/>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7B1792C6-0B0D-4CFD-BDEF-D7AF1148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8437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843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8437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84378"/>
    <w:pPr>
      <w:numPr>
        <w:ilvl w:val="2"/>
      </w:numPr>
      <w:spacing w:before="120"/>
      <w:outlineLvl w:val="2"/>
    </w:pPr>
    <w:rPr>
      <w:sz w:val="28"/>
      <w:szCs w:val="28"/>
    </w:rPr>
  </w:style>
  <w:style w:type="paragraph" w:styleId="Heading4">
    <w:name w:val="heading 4"/>
    <w:basedOn w:val="Heading3"/>
    <w:next w:val="Normal"/>
    <w:qFormat/>
    <w:rsid w:val="00A84378"/>
    <w:pPr>
      <w:numPr>
        <w:ilvl w:val="3"/>
      </w:numPr>
      <w:outlineLvl w:val="3"/>
    </w:pPr>
    <w:rPr>
      <w:sz w:val="24"/>
      <w:szCs w:val="24"/>
    </w:rPr>
  </w:style>
  <w:style w:type="paragraph" w:styleId="Heading5">
    <w:name w:val="heading 5"/>
    <w:basedOn w:val="Heading4"/>
    <w:next w:val="Normal"/>
    <w:qFormat/>
    <w:rsid w:val="00A84378"/>
    <w:pPr>
      <w:numPr>
        <w:ilvl w:val="4"/>
      </w:numPr>
      <w:outlineLvl w:val="4"/>
    </w:pPr>
    <w:rPr>
      <w:sz w:val="22"/>
      <w:szCs w:val="22"/>
    </w:rPr>
  </w:style>
  <w:style w:type="paragraph" w:styleId="Heading6">
    <w:name w:val="heading 6"/>
    <w:basedOn w:val="Normal"/>
    <w:next w:val="Normal"/>
    <w:qFormat/>
    <w:rsid w:val="00A84378"/>
    <w:pPr>
      <w:keepNext/>
      <w:keepLines/>
      <w:numPr>
        <w:ilvl w:val="5"/>
        <w:numId w:val="1"/>
      </w:numPr>
      <w:spacing w:before="120"/>
      <w:outlineLvl w:val="5"/>
    </w:pPr>
    <w:rPr>
      <w:rFonts w:cs="Arial"/>
    </w:rPr>
  </w:style>
  <w:style w:type="paragraph" w:styleId="Heading7">
    <w:name w:val="heading 7"/>
    <w:basedOn w:val="Normal"/>
    <w:next w:val="Normal"/>
    <w:qFormat/>
    <w:rsid w:val="00A84378"/>
    <w:pPr>
      <w:keepNext/>
      <w:keepLines/>
      <w:numPr>
        <w:ilvl w:val="6"/>
        <w:numId w:val="1"/>
      </w:numPr>
      <w:spacing w:before="120"/>
      <w:outlineLvl w:val="6"/>
    </w:pPr>
    <w:rPr>
      <w:rFonts w:cs="Arial"/>
    </w:rPr>
  </w:style>
  <w:style w:type="paragraph" w:styleId="Heading8">
    <w:name w:val="heading 8"/>
    <w:basedOn w:val="Heading7"/>
    <w:next w:val="Normal"/>
    <w:qFormat/>
    <w:rsid w:val="00A84378"/>
    <w:pPr>
      <w:numPr>
        <w:ilvl w:val="7"/>
      </w:numPr>
      <w:outlineLvl w:val="7"/>
    </w:pPr>
  </w:style>
  <w:style w:type="paragraph" w:styleId="Heading9">
    <w:name w:val="heading 9"/>
    <w:basedOn w:val="Heading8"/>
    <w:next w:val="Normal"/>
    <w:qFormat/>
    <w:rsid w:val="00A843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4378"/>
    <w:pPr>
      <w:spacing w:before="180"/>
      <w:ind w:left="2693" w:hanging="2693"/>
    </w:pPr>
    <w:rPr>
      <w:b w:val="0"/>
      <w:bCs/>
    </w:rPr>
  </w:style>
  <w:style w:type="paragraph" w:styleId="TOC1">
    <w:name w:val="toc 1"/>
    <w:aliases w:val="Observation TOC2"/>
    <w:uiPriority w:val="39"/>
    <w:rsid w:val="00A843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84378"/>
    <w:pPr>
      <w:keepNext/>
      <w:keepLines/>
      <w:spacing w:before="180"/>
      <w:jc w:val="center"/>
    </w:pPr>
  </w:style>
  <w:style w:type="paragraph" w:styleId="Caption">
    <w:name w:val="caption"/>
    <w:basedOn w:val="Normal"/>
    <w:next w:val="Normal"/>
    <w:qFormat/>
    <w:rsid w:val="00A84378"/>
    <w:pPr>
      <w:spacing w:after="240"/>
      <w:jc w:val="center"/>
    </w:pPr>
    <w:rPr>
      <w:b/>
      <w:bCs/>
    </w:rPr>
  </w:style>
  <w:style w:type="paragraph" w:styleId="TOC5">
    <w:name w:val="toc 5"/>
    <w:aliases w:val="Observation TOC"/>
    <w:basedOn w:val="TOC4"/>
    <w:semiHidden/>
    <w:rsid w:val="00A84378"/>
    <w:pPr>
      <w:tabs>
        <w:tab w:val="right" w:pos="1701"/>
      </w:tabs>
      <w:ind w:left="1701" w:hanging="1701"/>
    </w:pPr>
  </w:style>
  <w:style w:type="paragraph" w:styleId="TOC4">
    <w:name w:val="toc 4"/>
    <w:basedOn w:val="TOC3"/>
    <w:semiHidden/>
    <w:rsid w:val="00A84378"/>
    <w:pPr>
      <w:ind w:left="1418" w:hanging="1418"/>
    </w:pPr>
  </w:style>
  <w:style w:type="paragraph" w:styleId="TOC3">
    <w:name w:val="toc 3"/>
    <w:basedOn w:val="TOC2"/>
    <w:semiHidden/>
    <w:rsid w:val="00A84378"/>
    <w:pPr>
      <w:ind w:left="1134" w:hanging="1134"/>
    </w:pPr>
  </w:style>
  <w:style w:type="paragraph" w:styleId="TOC2">
    <w:name w:val="toc 2"/>
    <w:basedOn w:val="TOC1"/>
    <w:semiHidden/>
    <w:rsid w:val="00A84378"/>
    <w:pPr>
      <w:keepNext w:val="0"/>
      <w:spacing w:before="0"/>
      <w:ind w:left="851" w:hanging="851"/>
    </w:pPr>
    <w:rPr>
      <w:szCs w:val="20"/>
    </w:rPr>
  </w:style>
  <w:style w:type="paragraph" w:styleId="Index2">
    <w:name w:val="index 2"/>
    <w:basedOn w:val="Index1"/>
    <w:semiHidden/>
    <w:rsid w:val="00A84378"/>
    <w:pPr>
      <w:ind w:left="284"/>
    </w:pPr>
  </w:style>
  <w:style w:type="paragraph" w:styleId="Index1">
    <w:name w:val="index 1"/>
    <w:basedOn w:val="Normal"/>
    <w:semiHidden/>
    <w:rsid w:val="00A84378"/>
    <w:pPr>
      <w:keepLines/>
      <w:spacing w:after="0"/>
    </w:pPr>
  </w:style>
  <w:style w:type="paragraph" w:styleId="DocumentMap">
    <w:name w:val="Document Map"/>
    <w:basedOn w:val="Normal"/>
    <w:semiHidden/>
    <w:rsid w:val="00A84378"/>
    <w:pPr>
      <w:shd w:val="clear" w:color="auto" w:fill="000080"/>
    </w:pPr>
    <w:rPr>
      <w:rFonts w:ascii="Tahoma" w:hAnsi="Tahoma" w:cs="Tahoma"/>
    </w:rPr>
  </w:style>
  <w:style w:type="paragraph" w:styleId="ListNumber2">
    <w:name w:val="List Number 2"/>
    <w:basedOn w:val="ListNumber"/>
    <w:rsid w:val="00A84378"/>
    <w:pPr>
      <w:ind w:left="851"/>
    </w:pPr>
  </w:style>
  <w:style w:type="paragraph" w:styleId="ListNumber">
    <w:name w:val="List Number"/>
    <w:basedOn w:val="List"/>
    <w:rsid w:val="00A84378"/>
  </w:style>
  <w:style w:type="paragraph" w:styleId="List">
    <w:name w:val="List"/>
    <w:basedOn w:val="Normal"/>
    <w:rsid w:val="00A84378"/>
    <w:pPr>
      <w:ind w:left="568" w:hanging="284"/>
    </w:pPr>
  </w:style>
  <w:style w:type="paragraph" w:styleId="Header">
    <w:name w:val="header"/>
    <w:rsid w:val="00A8437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84378"/>
    <w:rPr>
      <w:b/>
      <w:bCs/>
      <w:position w:val="6"/>
      <w:sz w:val="16"/>
      <w:szCs w:val="16"/>
    </w:rPr>
  </w:style>
  <w:style w:type="paragraph" w:styleId="FootnoteText">
    <w:name w:val="footnote text"/>
    <w:basedOn w:val="Normal"/>
    <w:semiHidden/>
    <w:rsid w:val="00A84378"/>
    <w:pPr>
      <w:keepLines/>
      <w:spacing w:after="0"/>
      <w:ind w:left="454" w:hanging="454"/>
    </w:pPr>
    <w:rPr>
      <w:sz w:val="16"/>
      <w:szCs w:val="16"/>
    </w:rPr>
  </w:style>
  <w:style w:type="paragraph" w:customStyle="1" w:styleId="3GPPHeader">
    <w:name w:val="3GPP_Header"/>
    <w:basedOn w:val="Normal"/>
    <w:rsid w:val="00A84378"/>
    <w:pPr>
      <w:tabs>
        <w:tab w:val="left" w:pos="1701"/>
        <w:tab w:val="right" w:pos="9639"/>
      </w:tabs>
      <w:spacing w:after="240"/>
    </w:pPr>
    <w:rPr>
      <w:b/>
      <w:sz w:val="24"/>
    </w:rPr>
  </w:style>
  <w:style w:type="paragraph" w:styleId="TOC9">
    <w:name w:val="toc 9"/>
    <w:basedOn w:val="TOC8"/>
    <w:semiHidden/>
    <w:rsid w:val="00A84378"/>
    <w:pPr>
      <w:ind w:left="1418" w:hanging="1418"/>
    </w:pPr>
  </w:style>
  <w:style w:type="paragraph" w:styleId="TOC6">
    <w:name w:val="toc 6"/>
    <w:basedOn w:val="TOC5"/>
    <w:next w:val="Normal"/>
    <w:semiHidden/>
    <w:rsid w:val="00A84378"/>
    <w:pPr>
      <w:ind w:left="1985" w:hanging="1985"/>
    </w:pPr>
  </w:style>
  <w:style w:type="paragraph" w:styleId="TOC7">
    <w:name w:val="toc 7"/>
    <w:basedOn w:val="TOC6"/>
    <w:next w:val="Normal"/>
    <w:semiHidden/>
    <w:rsid w:val="00A84378"/>
    <w:pPr>
      <w:ind w:left="2268" w:hanging="2268"/>
    </w:pPr>
  </w:style>
  <w:style w:type="paragraph" w:styleId="ListBullet2">
    <w:name w:val="List Bullet 2"/>
    <w:basedOn w:val="ListBullet"/>
    <w:rsid w:val="00A84378"/>
    <w:pPr>
      <w:numPr>
        <w:numId w:val="6"/>
      </w:numPr>
    </w:pPr>
  </w:style>
  <w:style w:type="paragraph" w:styleId="ListBullet">
    <w:name w:val="List Bullet"/>
    <w:basedOn w:val="BodyText"/>
    <w:rsid w:val="00A84378"/>
    <w:pPr>
      <w:numPr>
        <w:numId w:val="5"/>
      </w:numPr>
    </w:pPr>
  </w:style>
  <w:style w:type="paragraph" w:styleId="ListBullet3">
    <w:name w:val="List Bullet 3"/>
    <w:basedOn w:val="ListBullet2"/>
    <w:rsid w:val="00A84378"/>
    <w:pPr>
      <w:numPr>
        <w:numId w:val="7"/>
      </w:numPr>
    </w:pPr>
  </w:style>
  <w:style w:type="paragraph" w:customStyle="1" w:styleId="EQ">
    <w:name w:val="EQ"/>
    <w:basedOn w:val="Normal"/>
    <w:next w:val="Normal"/>
    <w:rsid w:val="00A84378"/>
    <w:pPr>
      <w:keepLines/>
      <w:tabs>
        <w:tab w:val="center" w:pos="4536"/>
        <w:tab w:val="right" w:pos="9072"/>
      </w:tabs>
      <w:spacing w:after="180"/>
      <w:jc w:val="left"/>
    </w:pPr>
    <w:rPr>
      <w:noProof/>
      <w:lang w:eastAsia="en-US"/>
    </w:rPr>
  </w:style>
  <w:style w:type="paragraph" w:styleId="List2">
    <w:name w:val="List 2"/>
    <w:basedOn w:val="List"/>
    <w:rsid w:val="00A84378"/>
    <w:pPr>
      <w:ind w:left="851"/>
    </w:pPr>
  </w:style>
  <w:style w:type="paragraph" w:styleId="List3">
    <w:name w:val="List 3"/>
    <w:basedOn w:val="List2"/>
    <w:rsid w:val="00A84378"/>
    <w:pPr>
      <w:ind w:left="1135"/>
    </w:pPr>
  </w:style>
  <w:style w:type="paragraph" w:styleId="List4">
    <w:name w:val="List 4"/>
    <w:basedOn w:val="List3"/>
    <w:rsid w:val="00A84378"/>
    <w:pPr>
      <w:ind w:left="1418"/>
    </w:pPr>
  </w:style>
  <w:style w:type="paragraph" w:styleId="List5">
    <w:name w:val="List 5"/>
    <w:basedOn w:val="List4"/>
    <w:rsid w:val="00A84378"/>
    <w:pPr>
      <w:ind w:left="1702"/>
    </w:pPr>
  </w:style>
  <w:style w:type="paragraph" w:customStyle="1" w:styleId="EditorsNote">
    <w:name w:val="Editor's Note"/>
    <w:basedOn w:val="Normal"/>
    <w:rsid w:val="00A84378"/>
    <w:pPr>
      <w:keepLines/>
      <w:spacing w:after="180"/>
      <w:ind w:left="1135" w:hanging="851"/>
      <w:jc w:val="left"/>
    </w:pPr>
    <w:rPr>
      <w:color w:val="FF0000"/>
      <w:lang w:eastAsia="en-US"/>
    </w:rPr>
  </w:style>
  <w:style w:type="paragraph" w:styleId="ListBullet4">
    <w:name w:val="List Bullet 4"/>
    <w:basedOn w:val="ListBullet3"/>
    <w:rsid w:val="00A84378"/>
    <w:pPr>
      <w:numPr>
        <w:numId w:val="8"/>
      </w:numPr>
    </w:pPr>
  </w:style>
  <w:style w:type="paragraph" w:styleId="ListBullet5">
    <w:name w:val="List Bullet 5"/>
    <w:basedOn w:val="ListBullet4"/>
    <w:rsid w:val="00A84378"/>
    <w:pPr>
      <w:numPr>
        <w:numId w:val="4"/>
      </w:numPr>
    </w:pPr>
  </w:style>
  <w:style w:type="paragraph" w:styleId="Footer">
    <w:name w:val="footer"/>
    <w:basedOn w:val="Header"/>
    <w:semiHidden/>
    <w:rsid w:val="00A84378"/>
    <w:pPr>
      <w:jc w:val="center"/>
    </w:pPr>
    <w:rPr>
      <w:i/>
      <w:iCs/>
    </w:rPr>
  </w:style>
  <w:style w:type="paragraph" w:customStyle="1" w:styleId="Reference">
    <w:name w:val="Reference"/>
    <w:basedOn w:val="Normal"/>
    <w:link w:val="ReferenceChar"/>
    <w:rsid w:val="00A84378"/>
    <w:pPr>
      <w:numPr>
        <w:numId w:val="2"/>
      </w:numPr>
    </w:pPr>
  </w:style>
  <w:style w:type="paragraph" w:styleId="BalloonText">
    <w:name w:val="Balloon Text"/>
    <w:basedOn w:val="Normal"/>
    <w:semiHidden/>
    <w:rsid w:val="00A84378"/>
    <w:rPr>
      <w:rFonts w:ascii="Tahoma" w:hAnsi="Tahoma" w:cs="Tahoma"/>
      <w:sz w:val="16"/>
      <w:szCs w:val="16"/>
    </w:rPr>
  </w:style>
  <w:style w:type="character" w:styleId="PageNumber">
    <w:name w:val="page number"/>
    <w:basedOn w:val="DefaultParagraphFont"/>
    <w:semiHidden/>
    <w:rsid w:val="00A84378"/>
  </w:style>
  <w:style w:type="paragraph" w:styleId="BodyText">
    <w:name w:val="Body Text"/>
    <w:basedOn w:val="Normal"/>
    <w:link w:val="BodyTextChar"/>
    <w:rsid w:val="00A84378"/>
  </w:style>
  <w:style w:type="character" w:styleId="Hyperlink">
    <w:name w:val="Hyperlink"/>
    <w:uiPriority w:val="99"/>
    <w:rsid w:val="00A84378"/>
    <w:rPr>
      <w:color w:val="0000FF"/>
      <w:u w:val="single"/>
      <w:lang w:val="en-GB"/>
    </w:rPr>
  </w:style>
  <w:style w:type="character" w:styleId="FollowedHyperlink">
    <w:name w:val="FollowedHyperlink"/>
    <w:semiHidden/>
    <w:rsid w:val="00A84378"/>
    <w:rPr>
      <w:color w:val="FF0000"/>
      <w:u w:val="single"/>
    </w:rPr>
  </w:style>
  <w:style w:type="character" w:styleId="CommentReference">
    <w:name w:val="annotation reference"/>
    <w:semiHidden/>
    <w:rsid w:val="00A84378"/>
    <w:rPr>
      <w:sz w:val="16"/>
      <w:szCs w:val="16"/>
    </w:rPr>
  </w:style>
  <w:style w:type="paragraph" w:styleId="CommentText">
    <w:name w:val="annotation text"/>
    <w:basedOn w:val="Normal"/>
    <w:link w:val="CommentTextChar"/>
    <w:semiHidden/>
    <w:rsid w:val="00A84378"/>
  </w:style>
  <w:style w:type="paragraph" w:styleId="CommentSubject">
    <w:name w:val="annotation subject"/>
    <w:basedOn w:val="CommentText"/>
    <w:next w:val="CommentText"/>
    <w:semiHidden/>
    <w:rsid w:val="00A84378"/>
    <w:rPr>
      <w:b/>
      <w:bCs/>
    </w:rPr>
  </w:style>
  <w:style w:type="character" w:customStyle="1" w:styleId="Heading1Char">
    <w:name w:val="Heading 1 Char"/>
    <w:link w:val="Heading1"/>
    <w:rsid w:val="00A84378"/>
    <w:rPr>
      <w:rFonts w:ascii="Arial" w:hAnsi="Arial" w:cs="Arial"/>
      <w:sz w:val="36"/>
      <w:szCs w:val="36"/>
      <w:lang w:val="en-GB" w:eastAsia="zh-CN"/>
    </w:rPr>
  </w:style>
  <w:style w:type="paragraph" w:customStyle="1" w:styleId="B1">
    <w:name w:val="B1"/>
    <w:basedOn w:val="List"/>
    <w:rsid w:val="00A84378"/>
    <w:pPr>
      <w:spacing w:after="180"/>
      <w:jc w:val="left"/>
    </w:pPr>
    <w:rPr>
      <w:lang w:eastAsia="en-US"/>
    </w:rPr>
  </w:style>
  <w:style w:type="paragraph" w:customStyle="1" w:styleId="B2">
    <w:name w:val="B2"/>
    <w:basedOn w:val="List2"/>
    <w:rsid w:val="00A84378"/>
    <w:pPr>
      <w:spacing w:after="180"/>
      <w:jc w:val="left"/>
    </w:pPr>
    <w:rPr>
      <w:lang w:eastAsia="en-US"/>
    </w:rPr>
  </w:style>
  <w:style w:type="paragraph" w:customStyle="1" w:styleId="B3">
    <w:name w:val="B3"/>
    <w:basedOn w:val="List3"/>
    <w:rsid w:val="00A84378"/>
    <w:pPr>
      <w:spacing w:after="180"/>
      <w:jc w:val="left"/>
    </w:pPr>
    <w:rPr>
      <w:lang w:eastAsia="en-US"/>
    </w:rPr>
  </w:style>
  <w:style w:type="paragraph" w:customStyle="1" w:styleId="B4">
    <w:name w:val="B4"/>
    <w:basedOn w:val="List4"/>
    <w:rsid w:val="00A84378"/>
    <w:pPr>
      <w:spacing w:after="180"/>
      <w:jc w:val="left"/>
    </w:pPr>
    <w:rPr>
      <w:lang w:eastAsia="en-US"/>
    </w:rPr>
  </w:style>
  <w:style w:type="paragraph" w:customStyle="1" w:styleId="Proposal">
    <w:name w:val="Proposal"/>
    <w:basedOn w:val="Normal"/>
    <w:rsid w:val="00A84378"/>
    <w:pPr>
      <w:numPr>
        <w:numId w:val="3"/>
      </w:numPr>
      <w:tabs>
        <w:tab w:val="clear" w:pos="1304"/>
        <w:tab w:val="left" w:pos="1701"/>
      </w:tabs>
      <w:ind w:left="1701" w:hanging="1701"/>
    </w:pPr>
    <w:rPr>
      <w:b/>
      <w:bCs/>
    </w:rPr>
  </w:style>
  <w:style w:type="character" w:customStyle="1" w:styleId="BodyTextChar">
    <w:name w:val="Body Text Char"/>
    <w:link w:val="BodyText"/>
    <w:rsid w:val="00A84378"/>
    <w:rPr>
      <w:rFonts w:ascii="Arial" w:hAnsi="Arial"/>
      <w:lang w:val="en-GB" w:eastAsia="zh-CN"/>
    </w:rPr>
  </w:style>
  <w:style w:type="paragraph" w:customStyle="1" w:styleId="B5">
    <w:name w:val="B5"/>
    <w:basedOn w:val="List5"/>
    <w:rsid w:val="00A84378"/>
    <w:pPr>
      <w:spacing w:after="180"/>
      <w:jc w:val="left"/>
    </w:pPr>
    <w:rPr>
      <w:lang w:eastAsia="en-US"/>
    </w:rPr>
  </w:style>
  <w:style w:type="paragraph" w:customStyle="1" w:styleId="EX">
    <w:name w:val="EX"/>
    <w:basedOn w:val="Normal"/>
    <w:rsid w:val="00A84378"/>
    <w:pPr>
      <w:keepLines/>
      <w:spacing w:after="180"/>
      <w:ind w:left="1702" w:hanging="1418"/>
      <w:jc w:val="left"/>
    </w:pPr>
    <w:rPr>
      <w:lang w:eastAsia="en-US"/>
    </w:rPr>
  </w:style>
  <w:style w:type="paragraph" w:customStyle="1" w:styleId="EW">
    <w:name w:val="EW"/>
    <w:basedOn w:val="EX"/>
    <w:rsid w:val="00A84378"/>
    <w:pPr>
      <w:spacing w:after="0"/>
    </w:pPr>
  </w:style>
  <w:style w:type="paragraph" w:customStyle="1" w:styleId="TAL">
    <w:name w:val="TAL"/>
    <w:basedOn w:val="Normal"/>
    <w:rsid w:val="00A84378"/>
    <w:pPr>
      <w:keepNext/>
      <w:keepLines/>
      <w:spacing w:after="0"/>
      <w:jc w:val="left"/>
    </w:pPr>
    <w:rPr>
      <w:sz w:val="18"/>
      <w:lang w:eastAsia="en-US"/>
    </w:rPr>
  </w:style>
  <w:style w:type="paragraph" w:customStyle="1" w:styleId="TAC">
    <w:name w:val="TAC"/>
    <w:basedOn w:val="TAL"/>
    <w:rsid w:val="00A84378"/>
    <w:pPr>
      <w:jc w:val="center"/>
    </w:pPr>
  </w:style>
  <w:style w:type="paragraph" w:customStyle="1" w:styleId="TAH">
    <w:name w:val="TAH"/>
    <w:basedOn w:val="TAC"/>
    <w:rsid w:val="00A84378"/>
    <w:rPr>
      <w:b/>
    </w:rPr>
  </w:style>
  <w:style w:type="paragraph" w:customStyle="1" w:styleId="TAN">
    <w:name w:val="TAN"/>
    <w:basedOn w:val="TAL"/>
    <w:rsid w:val="00A84378"/>
    <w:pPr>
      <w:ind w:left="851" w:hanging="851"/>
    </w:pPr>
  </w:style>
  <w:style w:type="paragraph" w:customStyle="1" w:styleId="TAR">
    <w:name w:val="TAR"/>
    <w:basedOn w:val="TAL"/>
    <w:rsid w:val="00A84378"/>
    <w:pPr>
      <w:jc w:val="right"/>
    </w:pPr>
  </w:style>
  <w:style w:type="paragraph" w:customStyle="1" w:styleId="TH">
    <w:name w:val="TH"/>
    <w:basedOn w:val="Normal"/>
    <w:link w:val="THChar"/>
    <w:rsid w:val="00A84378"/>
    <w:pPr>
      <w:keepNext/>
      <w:keepLines/>
      <w:spacing w:before="60" w:after="180"/>
      <w:jc w:val="center"/>
    </w:pPr>
    <w:rPr>
      <w:b/>
      <w:lang w:eastAsia="en-US"/>
    </w:rPr>
  </w:style>
  <w:style w:type="paragraph" w:customStyle="1" w:styleId="TF">
    <w:name w:val="TF"/>
    <w:aliases w:val="left"/>
    <w:basedOn w:val="TH"/>
    <w:link w:val="TFChar"/>
    <w:rsid w:val="00A84378"/>
    <w:pPr>
      <w:keepNext w:val="0"/>
      <w:spacing w:before="0" w:after="240"/>
    </w:pPr>
  </w:style>
  <w:style w:type="paragraph" w:customStyle="1" w:styleId="TT">
    <w:name w:val="TT"/>
    <w:basedOn w:val="Heading1"/>
    <w:next w:val="Normal"/>
    <w:rsid w:val="00A84378"/>
    <w:pPr>
      <w:numPr>
        <w:numId w:val="0"/>
      </w:numPr>
      <w:ind w:left="1134" w:hanging="1134"/>
      <w:outlineLvl w:val="9"/>
    </w:pPr>
    <w:rPr>
      <w:rFonts w:cs="Times New Roman"/>
      <w:szCs w:val="20"/>
      <w:lang w:eastAsia="en-US"/>
    </w:rPr>
  </w:style>
  <w:style w:type="paragraph" w:customStyle="1" w:styleId="ZA">
    <w:name w:val="ZA"/>
    <w:rsid w:val="00A84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43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43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4378"/>
  </w:style>
  <w:style w:type="paragraph" w:customStyle="1" w:styleId="ZH">
    <w:name w:val="ZH"/>
    <w:rsid w:val="00A843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43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4378"/>
    <w:pPr>
      <w:framePr w:hRule="auto" w:wrap="notBeside" w:y="852"/>
    </w:pPr>
    <w:rPr>
      <w:i w:val="0"/>
      <w:sz w:val="40"/>
    </w:rPr>
  </w:style>
  <w:style w:type="paragraph" w:customStyle="1" w:styleId="ZU">
    <w:name w:val="ZU"/>
    <w:rsid w:val="00A84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4378"/>
    <w:pPr>
      <w:framePr w:wrap="notBeside" w:y="16161"/>
    </w:pPr>
  </w:style>
  <w:style w:type="paragraph" w:customStyle="1" w:styleId="FP">
    <w:name w:val="FP"/>
    <w:basedOn w:val="Normal"/>
    <w:rsid w:val="00A84378"/>
    <w:pPr>
      <w:spacing w:after="0"/>
      <w:jc w:val="left"/>
    </w:pPr>
    <w:rPr>
      <w:lang w:eastAsia="en-US"/>
    </w:rPr>
  </w:style>
  <w:style w:type="paragraph" w:customStyle="1" w:styleId="Observation">
    <w:name w:val="Observation"/>
    <w:basedOn w:val="Proposal"/>
    <w:qFormat/>
    <w:rsid w:val="00A84378"/>
    <w:pPr>
      <w:numPr>
        <w:numId w:val="13"/>
      </w:numPr>
      <w:ind w:left="1701" w:hanging="1701"/>
    </w:pPr>
  </w:style>
  <w:style w:type="paragraph" w:styleId="TableofFigures">
    <w:name w:val="table of figures"/>
    <w:basedOn w:val="Normal"/>
    <w:next w:val="Normal"/>
    <w:uiPriority w:val="99"/>
    <w:rsid w:val="00A84378"/>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locked/>
    <w:rsid w:val="00A90B61"/>
    <w:rPr>
      <w:rFonts w:ascii="Arial" w:hAnsi="Arial"/>
      <w:b/>
      <w:lang w:val="en-GB"/>
    </w:rPr>
  </w:style>
  <w:style w:type="character" w:customStyle="1" w:styleId="CommentTextChar">
    <w:name w:val="Comment Text Char"/>
    <w:basedOn w:val="DefaultParagraphFont"/>
    <w:link w:val="CommentText"/>
    <w:semiHidden/>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5NUHHDQN7SK2-1-114693</_dlc_DocId>
    <_dlc_DocIdUrl xmlns="08b2df90-05d3-4030-90d4-c9feeb4a1cd9">
      <Url>https://ericoll.internal.ericsson.com/sites/STAR/_layouts/DocIdRedir.aspx?ID=5NUHHDQN7SK2-1-114693</Url>
      <Description>5NUHHDQN7SK2-1-114693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6E9F0-9DBD-40EA-AED0-3F87E0FBAA56}"/>
</file>

<file path=customXml/itemProps2.xml><?xml version="1.0" encoding="utf-8"?>
<ds:datastoreItem xmlns:ds="http://schemas.openxmlformats.org/officeDocument/2006/customXml" ds:itemID="{F95D044E-DEF4-44A0-9715-94CD62B64AD4}"/>
</file>

<file path=customXml/itemProps3.xml><?xml version="1.0" encoding="utf-8"?>
<ds:datastoreItem xmlns:ds="http://schemas.openxmlformats.org/officeDocument/2006/customXml" ds:itemID="{55E0644C-6BEA-4A28-8785-968290B61A99}"/>
</file>

<file path=customXml/itemProps4.xml><?xml version="1.0" encoding="utf-8"?>
<ds:datastoreItem xmlns:ds="http://schemas.openxmlformats.org/officeDocument/2006/customXml" ds:itemID="{A6ADDEA9-6B92-4E8E-BF1A-BE0E057DD172}"/>
</file>

<file path=customXml/itemProps5.xml><?xml version="1.0" encoding="utf-8"?>
<ds:datastoreItem xmlns:ds="http://schemas.openxmlformats.org/officeDocument/2006/customXml" ds:itemID="{9F5946CB-8946-499C-8B44-7DE1A592D1D0}"/>
</file>

<file path=customXml/itemProps6.xml><?xml version="1.0" encoding="utf-8"?>
<ds:datastoreItem xmlns:ds="http://schemas.openxmlformats.org/officeDocument/2006/customXml" ds:itemID="{BEE23EE5-5864-4ADF-A848-295F30FA12F3}"/>
</file>

<file path=customXml/itemProps7.xml><?xml version="1.0" encoding="utf-8"?>
<ds:datastoreItem xmlns:ds="http://schemas.openxmlformats.org/officeDocument/2006/customXml" ds:itemID="{8DEB0084-8BA9-4AFC-B568-DD51D4B11349}"/>
</file>

<file path=docProps/app.xml><?xml version="1.0" encoding="utf-8"?>
<Properties xmlns="http://schemas.openxmlformats.org/officeDocument/2006/extended-properties" xmlns:vt="http://schemas.openxmlformats.org/officeDocument/2006/docPropsVTypes">
  <Template>R2-15xxxx - Contribution template.dot</Template>
  <TotalTime>230</TotalTime>
  <Pages>4</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Osman Yilmaz</cp:lastModifiedBy>
  <cp:revision>6</cp:revision>
  <cp:lastPrinted>2008-01-31T16:09:00Z</cp:lastPrinted>
  <dcterms:created xsi:type="dcterms:W3CDTF">2017-03-23T17:02:00Z</dcterms:created>
  <dcterms:modified xsi:type="dcterms:W3CDTF">2017-03-24T21:59:00Z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5e0f9475-a251-4cba-8b5e-5665d6347153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